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FCDEF" w14:textId="77777777" w:rsidR="00191987" w:rsidRPr="00191987" w:rsidRDefault="00191987" w:rsidP="00191987">
      <w:pPr>
        <w:spacing w:line="360" w:lineRule="auto"/>
        <w:jc w:val="center"/>
        <w:rPr>
          <w:rFonts w:eastAsia="Times New Roman"/>
          <w:b/>
          <w:color w:val="333333"/>
          <w:sz w:val="32"/>
          <w:szCs w:val="32"/>
        </w:rPr>
      </w:pPr>
      <w:r w:rsidRPr="00191987">
        <w:rPr>
          <w:rFonts w:eastAsia="Times New Roman"/>
          <w:b/>
          <w:color w:val="333333"/>
          <w:sz w:val="32"/>
          <w:szCs w:val="32"/>
        </w:rPr>
        <w:t>Suitability assessment protocol</w:t>
      </w:r>
    </w:p>
    <w:p w14:paraId="5AC5E2CD" w14:textId="77777777" w:rsidR="008F10D4" w:rsidRDefault="008F10D4" w:rsidP="00191987">
      <w:pPr>
        <w:spacing w:after="0" w:line="360" w:lineRule="auto"/>
        <w:jc w:val="both"/>
        <w:rPr>
          <w:rFonts w:eastAsia="Times New Roman"/>
          <w:b/>
          <w:bCs/>
          <w:color w:val="333333"/>
        </w:rPr>
      </w:pPr>
    </w:p>
    <w:p w14:paraId="614C0AA3" w14:textId="415AFDC2" w:rsidR="00191987" w:rsidRDefault="00191987" w:rsidP="00191987">
      <w:pPr>
        <w:spacing w:after="0" w:line="360" w:lineRule="auto"/>
        <w:jc w:val="both"/>
        <w:rPr>
          <w:rFonts w:eastAsia="Times New Roman"/>
          <w:b/>
          <w:bCs/>
          <w:color w:val="333333"/>
        </w:rPr>
      </w:pPr>
      <w:bookmarkStart w:id="0" w:name="_GoBack"/>
      <w:bookmarkEnd w:id="0"/>
      <w:r>
        <w:rPr>
          <w:rFonts w:eastAsia="Times New Roman"/>
          <w:b/>
          <w:bCs/>
          <w:color w:val="333333"/>
        </w:rPr>
        <w:t>Suitability assessment conditions</w:t>
      </w:r>
    </w:p>
    <w:p w14:paraId="7A846277" w14:textId="77777777" w:rsidR="00191987" w:rsidRPr="004315DE" w:rsidRDefault="00191987" w:rsidP="00191987">
      <w:pPr>
        <w:spacing w:after="0" w:line="360" w:lineRule="auto"/>
        <w:jc w:val="both"/>
        <w:rPr>
          <w:rFonts w:eastAsia="Times New Roman"/>
          <w:b/>
          <w:bCs/>
          <w:color w:val="333333"/>
        </w:rPr>
      </w:pPr>
    </w:p>
    <w:p w14:paraId="3D4104A1" w14:textId="77777777" w:rsidR="00191987" w:rsidRDefault="00191987" w:rsidP="00191987">
      <w:pPr>
        <w:spacing w:line="360" w:lineRule="auto"/>
        <w:jc w:val="both"/>
        <w:rPr>
          <w:rFonts w:eastAsia="Times New Roman"/>
          <w:color w:val="333333"/>
        </w:rPr>
      </w:pPr>
      <w:r>
        <w:rPr>
          <w:rFonts w:eastAsia="Times New Roman"/>
          <w:color w:val="333333"/>
        </w:rPr>
        <w:t>Section 46</w:t>
      </w:r>
      <w:proofErr w:type="gramStart"/>
      <w:r>
        <w:rPr>
          <w:rFonts w:eastAsia="Times New Roman"/>
          <w:color w:val="333333"/>
        </w:rPr>
        <w:t>J(</w:t>
      </w:r>
      <w:proofErr w:type="gramEnd"/>
      <w:r>
        <w:rPr>
          <w:rFonts w:eastAsia="Times New Roman"/>
          <w:color w:val="333333"/>
        </w:rPr>
        <w:t xml:space="preserve">3) of the </w:t>
      </w:r>
      <w:r>
        <w:rPr>
          <w:rFonts w:eastAsia="Times New Roman"/>
          <w:i/>
          <w:iCs/>
          <w:color w:val="333333"/>
        </w:rPr>
        <w:t>Sentencing Act</w:t>
      </w:r>
      <w:r>
        <w:rPr>
          <w:rFonts w:eastAsia="Times New Roman"/>
          <w:color w:val="333333"/>
        </w:rPr>
        <w:t xml:space="preserve"> requires the Court to order a drug and alcohol treatment assessment before making a DATO. The order for assessment will be directed to both ACTCS and CHS on behalf of their Directors-General.</w:t>
      </w:r>
    </w:p>
    <w:p w14:paraId="025B602C" w14:textId="77777777" w:rsidR="00191987" w:rsidRDefault="00191987" w:rsidP="00191987">
      <w:pPr>
        <w:spacing w:line="360" w:lineRule="auto"/>
        <w:jc w:val="both"/>
        <w:rPr>
          <w:rFonts w:eastAsia="Times New Roman"/>
          <w:color w:val="333333"/>
        </w:rPr>
      </w:pPr>
      <w:r>
        <w:rPr>
          <w:rFonts w:eastAsia="Times New Roman"/>
          <w:color w:val="333333"/>
        </w:rPr>
        <w:t>An offender may be assessed whilst in custody or on bail. However, the preference is for assessment on bail unless a proper application of the law prohibits that. The usual period for an in-custody assessment is four weeks, and six weeks for an assessment in the community.</w:t>
      </w:r>
    </w:p>
    <w:p w14:paraId="068516A2" w14:textId="77777777" w:rsidR="00191987" w:rsidRDefault="00191987" w:rsidP="00191987">
      <w:pPr>
        <w:spacing w:after="0" w:line="360" w:lineRule="auto"/>
        <w:jc w:val="both"/>
        <w:rPr>
          <w:rFonts w:eastAsia="Times New Roman"/>
          <w:color w:val="333333"/>
        </w:rPr>
      </w:pPr>
      <w:r w:rsidRPr="00BF4425">
        <w:rPr>
          <w:rFonts w:eastAsia="Times New Roman"/>
          <w:color w:val="333333"/>
        </w:rPr>
        <w:t xml:space="preserve">ACTCS and </w:t>
      </w:r>
      <w:r>
        <w:rPr>
          <w:rFonts w:eastAsia="Times New Roman"/>
          <w:color w:val="333333"/>
        </w:rPr>
        <w:t>CHS</w:t>
      </w:r>
      <w:r w:rsidRPr="00BF4425">
        <w:rPr>
          <w:rFonts w:eastAsia="Times New Roman"/>
          <w:color w:val="333333"/>
        </w:rPr>
        <w:t xml:space="preserve"> will each assess the offender in accordanc</w:t>
      </w:r>
      <w:r>
        <w:rPr>
          <w:rFonts w:eastAsia="Times New Roman"/>
          <w:color w:val="333333"/>
        </w:rPr>
        <w:t>e with their practice and policies,</w:t>
      </w:r>
      <w:r w:rsidRPr="00BF4425">
        <w:rPr>
          <w:rFonts w:eastAsia="Times New Roman"/>
          <w:color w:val="333333"/>
        </w:rPr>
        <w:t xml:space="preserve"> and the requirements of Part 4.2B of the </w:t>
      </w:r>
      <w:r w:rsidRPr="00ED0502">
        <w:rPr>
          <w:rFonts w:eastAsia="Times New Roman"/>
          <w:i/>
          <w:color w:val="333333"/>
        </w:rPr>
        <w:t>Sentencing Act</w:t>
      </w:r>
      <w:r w:rsidRPr="00BF4425">
        <w:rPr>
          <w:rFonts w:eastAsia="Times New Roman"/>
          <w:color w:val="333333"/>
        </w:rPr>
        <w:t>.</w:t>
      </w:r>
      <w:r>
        <w:rPr>
          <w:rFonts w:eastAsia="Times New Roman"/>
          <w:color w:val="333333"/>
        </w:rPr>
        <w:t xml:space="preserve"> Each agency will prepare a separate report which will be provided to all treatment order team members and the Court at least two business days before the listed suitability assessment conference.</w:t>
      </w:r>
    </w:p>
    <w:p w14:paraId="3AC2037F" w14:textId="77777777" w:rsidR="00191987" w:rsidRDefault="00191987" w:rsidP="00191987">
      <w:pPr>
        <w:pStyle w:val="NoSpacing"/>
        <w:spacing w:line="360" w:lineRule="auto"/>
        <w:rPr>
          <w:rFonts w:eastAsia="Times New Roman"/>
        </w:rPr>
      </w:pPr>
    </w:p>
    <w:p w14:paraId="400CE3E9" w14:textId="77777777" w:rsidR="00191987" w:rsidRDefault="00191987" w:rsidP="00191987">
      <w:pPr>
        <w:spacing w:line="360" w:lineRule="auto"/>
        <w:jc w:val="both"/>
        <w:rPr>
          <w:rFonts w:eastAsia="Times New Roman"/>
          <w:color w:val="333333"/>
        </w:rPr>
      </w:pPr>
      <w:r>
        <w:rPr>
          <w:rFonts w:eastAsia="Times New Roman"/>
          <w:color w:val="333333"/>
        </w:rPr>
        <w:t xml:space="preserve">The Court will only impose a DATO if a highly suitable program is identified by the assessment process and is available for the offender to commence immediately. That may mean that certain lesser interventions operate to hold an offender pending access to another intervention, for example, counselling pending residential rehabilitation. However, the highly suitable program must be achievable within a reasonable time having regard to the length of the order and the expectation of phase progression detailed in the treatment program protocol. </w:t>
      </w:r>
      <w:r w:rsidRPr="00281FD0">
        <w:rPr>
          <w:bCs/>
        </w:rPr>
        <w:t>Offenders on bail may be required to attend court weekly during the suitability assessment phase.</w:t>
      </w:r>
    </w:p>
    <w:p w14:paraId="11CFEE64" w14:textId="77777777" w:rsidR="00191987" w:rsidRDefault="00191987" w:rsidP="00191987">
      <w:pPr>
        <w:spacing w:after="0" w:line="360" w:lineRule="auto"/>
        <w:jc w:val="both"/>
        <w:rPr>
          <w:rFonts w:eastAsia="Times New Roman"/>
          <w:b/>
          <w:bCs/>
          <w:color w:val="333333"/>
        </w:rPr>
      </w:pPr>
    </w:p>
    <w:p w14:paraId="499048D2" w14:textId="70F91F22" w:rsidR="00191987" w:rsidRDefault="00191987" w:rsidP="00191987">
      <w:pPr>
        <w:spacing w:after="0" w:line="360" w:lineRule="auto"/>
        <w:jc w:val="both"/>
        <w:rPr>
          <w:rFonts w:eastAsia="Times New Roman"/>
          <w:b/>
          <w:bCs/>
          <w:color w:val="333333"/>
        </w:rPr>
      </w:pPr>
      <w:r>
        <w:rPr>
          <w:rFonts w:eastAsia="Times New Roman"/>
          <w:b/>
          <w:bCs/>
          <w:color w:val="333333"/>
        </w:rPr>
        <w:t>Assessment contents</w:t>
      </w:r>
    </w:p>
    <w:p w14:paraId="202C4D05" w14:textId="77777777" w:rsidR="00191987" w:rsidRPr="004315DE" w:rsidRDefault="00191987" w:rsidP="00191987">
      <w:pPr>
        <w:spacing w:after="0" w:line="360" w:lineRule="auto"/>
        <w:jc w:val="both"/>
        <w:rPr>
          <w:rFonts w:eastAsia="Times New Roman"/>
          <w:b/>
          <w:bCs/>
          <w:color w:val="333333"/>
        </w:rPr>
      </w:pPr>
    </w:p>
    <w:p w14:paraId="3F467EB3" w14:textId="77777777" w:rsidR="00191987" w:rsidRDefault="00191987" w:rsidP="00191987">
      <w:pPr>
        <w:spacing w:after="0" w:line="360" w:lineRule="auto"/>
        <w:jc w:val="both"/>
        <w:rPr>
          <w:rFonts w:eastAsia="Times New Roman"/>
          <w:color w:val="333333"/>
        </w:rPr>
      </w:pPr>
      <w:r w:rsidRPr="00D81C2A">
        <w:rPr>
          <w:rFonts w:eastAsia="Times New Roman"/>
          <w:color w:val="333333"/>
        </w:rPr>
        <w:t>Each report will provide an assessment as to</w:t>
      </w:r>
      <w:r>
        <w:rPr>
          <w:rFonts w:eastAsia="Times New Roman"/>
          <w:color w:val="333333"/>
        </w:rPr>
        <w:t>:</w:t>
      </w:r>
    </w:p>
    <w:p w14:paraId="0E776DC6" w14:textId="77777777" w:rsidR="00191987" w:rsidRDefault="00191987" w:rsidP="00191987">
      <w:pPr>
        <w:pStyle w:val="ListParagraph"/>
        <w:numPr>
          <w:ilvl w:val="0"/>
          <w:numId w:val="1"/>
        </w:numPr>
        <w:spacing w:after="0" w:line="360" w:lineRule="auto"/>
        <w:jc w:val="both"/>
        <w:rPr>
          <w:rFonts w:eastAsia="Times New Roman"/>
          <w:color w:val="333333"/>
        </w:rPr>
      </w:pPr>
      <w:r w:rsidRPr="00193FF0">
        <w:rPr>
          <w:rFonts w:eastAsia="Times New Roman"/>
          <w:color w:val="333333"/>
        </w:rPr>
        <w:t>the offender’s suitability for a treatment order</w:t>
      </w:r>
      <w:r>
        <w:rPr>
          <w:rFonts w:eastAsia="Times New Roman"/>
          <w:color w:val="333333"/>
        </w:rPr>
        <w:t xml:space="preserve"> from that agency’s perspective;</w:t>
      </w:r>
    </w:p>
    <w:p w14:paraId="16BB091E" w14:textId="77777777" w:rsidR="00191987" w:rsidRDefault="00191987" w:rsidP="00191987">
      <w:pPr>
        <w:pStyle w:val="ListParagraph"/>
        <w:numPr>
          <w:ilvl w:val="0"/>
          <w:numId w:val="1"/>
        </w:numPr>
        <w:spacing w:after="0" w:line="360" w:lineRule="auto"/>
        <w:jc w:val="both"/>
        <w:rPr>
          <w:rFonts w:eastAsia="Times New Roman"/>
          <w:color w:val="333333"/>
        </w:rPr>
      </w:pPr>
      <w:r w:rsidRPr="00193FF0">
        <w:rPr>
          <w:rFonts w:eastAsia="Times New Roman"/>
          <w:color w:val="333333"/>
        </w:rPr>
        <w:t>a proposed treatment program addressing aspects of the offender’s rehabilitation that the agency would supervise or coordinate</w:t>
      </w:r>
      <w:r>
        <w:rPr>
          <w:rFonts w:eastAsia="Times New Roman"/>
          <w:color w:val="333333"/>
        </w:rPr>
        <w:t>;</w:t>
      </w:r>
    </w:p>
    <w:p w14:paraId="2059829E" w14:textId="77777777" w:rsidR="00191987" w:rsidRPr="00702662" w:rsidRDefault="00191987" w:rsidP="00191987">
      <w:pPr>
        <w:pStyle w:val="ListParagraph"/>
        <w:numPr>
          <w:ilvl w:val="0"/>
          <w:numId w:val="1"/>
        </w:numPr>
        <w:spacing w:after="0" w:line="360" w:lineRule="auto"/>
        <w:jc w:val="both"/>
        <w:rPr>
          <w:rFonts w:eastAsia="Times New Roman"/>
          <w:color w:val="333333"/>
        </w:rPr>
      </w:pPr>
      <w:r w:rsidRPr="00193FF0">
        <w:rPr>
          <w:rFonts w:eastAsia="Times New Roman"/>
          <w:color w:val="333333"/>
        </w:rPr>
        <w:t xml:space="preserve">a copy of the offender’s signed consent to participate in the program </w:t>
      </w:r>
      <w:r>
        <w:rPr>
          <w:rFonts w:eastAsia="Times New Roman"/>
          <w:color w:val="333333"/>
        </w:rPr>
        <w:t>recommended by that agency.</w:t>
      </w:r>
    </w:p>
    <w:p w14:paraId="76FEFB6F" w14:textId="77777777" w:rsidR="00191987" w:rsidRDefault="00191987" w:rsidP="00191987">
      <w:pPr>
        <w:spacing w:after="0" w:line="360" w:lineRule="auto"/>
        <w:jc w:val="both"/>
        <w:rPr>
          <w:rFonts w:eastAsia="Times New Roman"/>
          <w:color w:val="333333"/>
        </w:rPr>
      </w:pPr>
    </w:p>
    <w:p w14:paraId="24F49C26" w14:textId="5D894A94" w:rsidR="00191987" w:rsidRPr="00075049" w:rsidRDefault="00191987" w:rsidP="00191987">
      <w:pPr>
        <w:spacing w:after="0" w:line="360" w:lineRule="auto"/>
        <w:jc w:val="both"/>
        <w:rPr>
          <w:rFonts w:eastAsia="Times New Roman"/>
          <w:color w:val="333333"/>
        </w:rPr>
      </w:pPr>
      <w:r>
        <w:rPr>
          <w:rFonts w:eastAsia="Times New Roman"/>
          <w:color w:val="333333"/>
        </w:rPr>
        <w:lastRenderedPageBreak/>
        <w:t>T</w:t>
      </w:r>
      <w:r w:rsidRPr="00D81C2A">
        <w:rPr>
          <w:rFonts w:eastAsia="Times New Roman"/>
          <w:color w:val="333333"/>
        </w:rPr>
        <w:t xml:space="preserve">he offender will be listed for a suitability mention and sentencing submissions (‘the sentencing proceeding’) usually no later than </w:t>
      </w:r>
      <w:r>
        <w:rPr>
          <w:rFonts w:eastAsia="Times New Roman"/>
          <w:color w:val="333333"/>
        </w:rPr>
        <w:t>six</w:t>
      </w:r>
      <w:r w:rsidRPr="00D81C2A">
        <w:rPr>
          <w:rFonts w:eastAsia="Times New Roman"/>
          <w:color w:val="333333"/>
        </w:rPr>
        <w:t xml:space="preserve"> weeks from the date of referral for </w:t>
      </w:r>
      <w:r>
        <w:rPr>
          <w:rFonts w:eastAsia="Times New Roman"/>
          <w:color w:val="333333"/>
        </w:rPr>
        <w:t>suitability</w:t>
      </w:r>
      <w:r w:rsidRPr="00D81C2A">
        <w:rPr>
          <w:rFonts w:eastAsia="Times New Roman"/>
          <w:color w:val="333333"/>
        </w:rPr>
        <w:t xml:space="preserve"> assessment. </w:t>
      </w:r>
      <w:r>
        <w:rPr>
          <w:rFonts w:eastAsia="Times New Roman"/>
          <w:color w:val="333333"/>
        </w:rPr>
        <w:t xml:space="preserve"> </w:t>
      </w:r>
      <w:r w:rsidRPr="008D5B23">
        <w:rPr>
          <w:rFonts w:eastAsia="Times New Roman"/>
          <w:color w:val="333333"/>
        </w:rPr>
        <w:t>Pursuant to s12(2)</w:t>
      </w:r>
      <w:r>
        <w:rPr>
          <w:rFonts w:eastAsia="Times New Roman"/>
          <w:color w:val="333333"/>
        </w:rPr>
        <w:t>(c)</w:t>
      </w:r>
      <w:r w:rsidRPr="008D5B23">
        <w:rPr>
          <w:rFonts w:eastAsia="Times New Roman"/>
          <w:color w:val="333333"/>
        </w:rPr>
        <w:t xml:space="preserve"> of the </w:t>
      </w:r>
      <w:r w:rsidRPr="00ED0502">
        <w:rPr>
          <w:rFonts w:eastAsia="Times New Roman"/>
          <w:i/>
          <w:color w:val="333333"/>
        </w:rPr>
        <w:t>Sentencing Act</w:t>
      </w:r>
      <w:r w:rsidRPr="008D5B23">
        <w:rPr>
          <w:rFonts w:eastAsia="Times New Roman"/>
          <w:color w:val="333333"/>
        </w:rPr>
        <w:t>, if the offender is to be sentenced to a DATO</w:t>
      </w:r>
      <w:r>
        <w:rPr>
          <w:rFonts w:eastAsia="Times New Roman"/>
          <w:color w:val="333333"/>
        </w:rPr>
        <w:t xml:space="preserve">, the </w:t>
      </w:r>
      <w:r w:rsidRPr="008D5B23">
        <w:rPr>
          <w:rFonts w:eastAsia="Times New Roman"/>
          <w:color w:val="333333"/>
        </w:rPr>
        <w:t xml:space="preserve">judge will </w:t>
      </w:r>
      <w:r>
        <w:rPr>
          <w:rFonts w:eastAsia="Times New Roman"/>
          <w:color w:val="333333"/>
        </w:rPr>
        <w:t>address</w:t>
      </w:r>
      <w:r w:rsidRPr="008D5B23">
        <w:rPr>
          <w:rFonts w:eastAsia="Times New Roman"/>
          <w:color w:val="333333"/>
        </w:rPr>
        <w:t xml:space="preserve"> the issue of consent in </w:t>
      </w:r>
      <w:r>
        <w:rPr>
          <w:rFonts w:eastAsia="Times New Roman"/>
          <w:color w:val="333333"/>
        </w:rPr>
        <w:t>C</w:t>
      </w:r>
      <w:r w:rsidRPr="008D5B23">
        <w:rPr>
          <w:rFonts w:eastAsia="Times New Roman"/>
          <w:color w:val="333333"/>
        </w:rPr>
        <w:t>ourt prior to making the</w:t>
      </w:r>
      <w:r>
        <w:rPr>
          <w:rFonts w:eastAsia="Times New Roman"/>
          <w:color w:val="333333"/>
        </w:rPr>
        <w:t xml:space="preserve"> </w:t>
      </w:r>
      <w:r w:rsidRPr="008D5B23">
        <w:rPr>
          <w:rFonts w:eastAsia="Times New Roman"/>
          <w:color w:val="333333"/>
        </w:rPr>
        <w:t>order</w:t>
      </w:r>
      <w:r>
        <w:rPr>
          <w:rFonts w:eastAsia="Times New Roman"/>
          <w:color w:val="333333"/>
        </w:rPr>
        <w:t>.</w:t>
      </w:r>
    </w:p>
    <w:p w14:paraId="571732D9" w14:textId="77777777" w:rsidR="00191987" w:rsidRDefault="00191987" w:rsidP="00191987">
      <w:pPr>
        <w:spacing w:after="0" w:line="360" w:lineRule="auto"/>
        <w:jc w:val="both"/>
        <w:rPr>
          <w:rFonts w:eastAsia="Times New Roman"/>
          <w:color w:val="333333"/>
        </w:rPr>
      </w:pPr>
    </w:p>
    <w:p w14:paraId="30068EE4" w14:textId="77777777" w:rsidR="00191987" w:rsidRDefault="00191987" w:rsidP="00191987">
      <w:pPr>
        <w:spacing w:after="0" w:line="360" w:lineRule="auto"/>
        <w:jc w:val="both"/>
        <w:rPr>
          <w:rFonts w:eastAsia="Times New Roman"/>
          <w:color w:val="333333"/>
        </w:rPr>
      </w:pPr>
      <w:r w:rsidRPr="00877C3C">
        <w:rPr>
          <w:rFonts w:eastAsia="Times New Roman"/>
          <w:color w:val="333333"/>
        </w:rPr>
        <w:t xml:space="preserve">If the offender is in custody at the time of referral for assessment, the </w:t>
      </w:r>
      <w:r>
        <w:rPr>
          <w:rFonts w:eastAsia="Times New Roman"/>
          <w:color w:val="333333"/>
        </w:rPr>
        <w:t>C</w:t>
      </w:r>
      <w:r w:rsidRPr="00877C3C">
        <w:rPr>
          <w:rFonts w:eastAsia="Times New Roman"/>
          <w:color w:val="333333"/>
        </w:rPr>
        <w:t xml:space="preserve">ourt may hear a bail application to determine whether the assessment will take place in custody or in the community. </w:t>
      </w:r>
      <w:r>
        <w:rPr>
          <w:rFonts w:eastAsia="Times New Roman"/>
          <w:color w:val="333333"/>
        </w:rPr>
        <w:t>The Court recognises that</w:t>
      </w:r>
      <w:r w:rsidRPr="00877C3C">
        <w:rPr>
          <w:rFonts w:eastAsia="Times New Roman"/>
          <w:color w:val="333333"/>
        </w:rPr>
        <w:t xml:space="preserve"> assessment in the community </w:t>
      </w:r>
      <w:r>
        <w:rPr>
          <w:rFonts w:eastAsia="Times New Roman"/>
          <w:color w:val="333333"/>
        </w:rPr>
        <w:t xml:space="preserve">allows for better assessment of suitability matters detailed in s46K of the </w:t>
      </w:r>
      <w:r w:rsidRPr="00ED0502">
        <w:rPr>
          <w:rFonts w:eastAsia="Times New Roman"/>
          <w:i/>
          <w:color w:val="333333"/>
        </w:rPr>
        <w:t>Sentencing Act</w:t>
      </w:r>
      <w:r>
        <w:rPr>
          <w:rFonts w:eastAsia="Times New Roman"/>
          <w:color w:val="333333"/>
        </w:rPr>
        <w:t xml:space="preserve">; in particular, assessment of the offender’s capacity and willingness to comply with directions. It will also allow earlier access to medically supervised detoxification and treatment. The Court </w:t>
      </w:r>
      <w:r w:rsidRPr="00877C3C">
        <w:rPr>
          <w:rFonts w:eastAsia="Times New Roman"/>
          <w:color w:val="333333"/>
        </w:rPr>
        <w:t xml:space="preserve">will consider this as a relevant factor in all cases. However, </w:t>
      </w:r>
      <w:r>
        <w:rPr>
          <w:rFonts w:eastAsia="Times New Roman"/>
          <w:color w:val="333333"/>
        </w:rPr>
        <w:t>if</w:t>
      </w:r>
      <w:r w:rsidRPr="00877C3C">
        <w:rPr>
          <w:rFonts w:eastAsia="Times New Roman"/>
          <w:color w:val="333333"/>
        </w:rPr>
        <w:t xml:space="preserve"> s9D of the </w:t>
      </w:r>
      <w:r w:rsidRPr="00877C3C">
        <w:rPr>
          <w:rFonts w:eastAsia="Times New Roman"/>
          <w:i/>
          <w:color w:val="333333"/>
        </w:rPr>
        <w:t>Bail Act</w:t>
      </w:r>
      <w:r>
        <w:rPr>
          <w:rFonts w:eastAsia="Times New Roman"/>
          <w:i/>
          <w:color w:val="333333"/>
        </w:rPr>
        <w:t xml:space="preserve"> 1992</w:t>
      </w:r>
      <w:r>
        <w:rPr>
          <w:rFonts w:eastAsia="Times New Roman"/>
          <w:iCs/>
          <w:color w:val="333333"/>
        </w:rPr>
        <w:t xml:space="preserve"> (ACT)</w:t>
      </w:r>
      <w:r w:rsidRPr="00877C3C">
        <w:rPr>
          <w:rFonts w:eastAsia="Times New Roman"/>
          <w:color w:val="333333"/>
        </w:rPr>
        <w:t xml:space="preserve"> applies, a determination of </w:t>
      </w:r>
      <w:r>
        <w:rPr>
          <w:rFonts w:eastAsia="Times New Roman"/>
          <w:color w:val="333333"/>
        </w:rPr>
        <w:t xml:space="preserve">suitability </w:t>
      </w:r>
      <w:r w:rsidRPr="00877C3C">
        <w:rPr>
          <w:rFonts w:eastAsia="Times New Roman"/>
          <w:color w:val="333333"/>
        </w:rPr>
        <w:t>will not ordinarily amount to special or exceptional circumstances absent other relevant factors.</w:t>
      </w:r>
    </w:p>
    <w:p w14:paraId="06A4956D" w14:textId="77777777" w:rsidR="00191987" w:rsidRDefault="00191987" w:rsidP="00191987">
      <w:pPr>
        <w:spacing w:after="0" w:line="360" w:lineRule="auto"/>
        <w:jc w:val="both"/>
        <w:rPr>
          <w:rFonts w:eastAsia="Times New Roman"/>
          <w:b/>
          <w:bCs/>
          <w:color w:val="333333"/>
        </w:rPr>
      </w:pPr>
    </w:p>
    <w:p w14:paraId="73052CD8" w14:textId="5E93816C" w:rsidR="00191987" w:rsidRDefault="00191987" w:rsidP="00191987">
      <w:pPr>
        <w:spacing w:after="0" w:line="360" w:lineRule="auto"/>
        <w:jc w:val="both"/>
        <w:rPr>
          <w:rFonts w:eastAsia="Times New Roman"/>
          <w:b/>
          <w:bCs/>
          <w:color w:val="333333"/>
        </w:rPr>
      </w:pPr>
      <w:r>
        <w:rPr>
          <w:rFonts w:eastAsia="Times New Roman"/>
          <w:b/>
          <w:bCs/>
          <w:color w:val="333333"/>
        </w:rPr>
        <w:t>Cross-examination of assessors</w:t>
      </w:r>
    </w:p>
    <w:p w14:paraId="5BD8E672" w14:textId="77777777" w:rsidR="00191987" w:rsidRPr="004315DE" w:rsidRDefault="00191987" w:rsidP="00191987">
      <w:pPr>
        <w:spacing w:after="0" w:line="360" w:lineRule="auto"/>
        <w:jc w:val="both"/>
        <w:rPr>
          <w:rFonts w:eastAsia="Times New Roman"/>
          <w:b/>
          <w:bCs/>
          <w:color w:val="333333"/>
        </w:rPr>
      </w:pPr>
    </w:p>
    <w:p w14:paraId="0857FE27" w14:textId="289647CA" w:rsidR="00AF41E3" w:rsidRDefault="00191987" w:rsidP="00191987">
      <w:pPr>
        <w:spacing w:line="360" w:lineRule="auto"/>
      </w:pPr>
      <w:r>
        <w:rPr>
          <w:rFonts w:eastAsia="Times New Roman"/>
          <w:color w:val="333333"/>
        </w:rPr>
        <w:t>If</w:t>
      </w:r>
      <w:r w:rsidRPr="008D5B23">
        <w:rPr>
          <w:rFonts w:eastAsia="Times New Roman"/>
          <w:color w:val="333333"/>
        </w:rPr>
        <w:t xml:space="preserve"> either party wishes to cross-examine an assessor, following consulta</w:t>
      </w:r>
      <w:r>
        <w:rPr>
          <w:rFonts w:eastAsia="Times New Roman"/>
          <w:color w:val="333333"/>
        </w:rPr>
        <w:t xml:space="preserve">tion with the other </w:t>
      </w:r>
      <w:r w:rsidRPr="008D5B23">
        <w:rPr>
          <w:rFonts w:eastAsia="Times New Roman"/>
          <w:color w:val="333333"/>
        </w:rPr>
        <w:t>party, the party requiring an assessor for cross-examination must notify the DASL co</w:t>
      </w:r>
      <w:r>
        <w:rPr>
          <w:rFonts w:eastAsia="Times New Roman"/>
          <w:color w:val="333333"/>
        </w:rPr>
        <w:t>nference co-ordinator by email two</w:t>
      </w:r>
      <w:r w:rsidRPr="008D5B23">
        <w:rPr>
          <w:rFonts w:eastAsia="Times New Roman"/>
          <w:color w:val="333333"/>
        </w:rPr>
        <w:t xml:space="preserve"> clear business days prior to the sentencing proceeding. The notification must provide details of what arrangements have been made for the assessor’s attendance, any other evidence to be relied upon and an estimate of time required to present the evidence.</w:t>
      </w:r>
    </w:p>
    <w:sectPr w:rsidR="00AF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46D3A"/>
    <w:multiLevelType w:val="hybridMultilevel"/>
    <w:tmpl w:val="21B44F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87"/>
    <w:rsid w:val="00191987"/>
    <w:rsid w:val="008F10D4"/>
    <w:rsid w:val="00AF4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80F3"/>
  <w15:chartTrackingRefBased/>
  <w15:docId w15:val="{D5BC13BF-7BFD-496D-A1D3-57CBBDBE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987"/>
    <w:pPr>
      <w:ind w:left="720"/>
      <w:contextualSpacing/>
    </w:pPr>
  </w:style>
  <w:style w:type="paragraph" w:styleId="NoSpacing">
    <w:name w:val="No Spacing"/>
    <w:link w:val="NoSpacingChar"/>
    <w:uiPriority w:val="1"/>
    <w:qFormat/>
    <w:rsid w:val="001919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198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Amanda</dc:creator>
  <cp:keywords/>
  <dc:description/>
  <cp:lastModifiedBy>Nuttall, Amanda</cp:lastModifiedBy>
  <cp:revision>2</cp:revision>
  <dcterms:created xsi:type="dcterms:W3CDTF">2019-12-18T22:30:00Z</dcterms:created>
  <dcterms:modified xsi:type="dcterms:W3CDTF">2019-12-18T22:33:00Z</dcterms:modified>
</cp:coreProperties>
</file>